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379EA3E3" w:rsidR="007B304B" w:rsidRPr="001F074F" w:rsidRDefault="3560C088" w:rsidP="001F074F">
            <w:pPr>
              <w:spacing w:before="60"/>
              <w:rPr>
                <w:b w:val="0"/>
                <w:bCs w:val="0"/>
                <w:color w:val="auto"/>
              </w:rPr>
            </w:pPr>
            <w:r w:rsidRPr="001F074F">
              <w:rPr>
                <w:color w:val="auto"/>
              </w:rPr>
              <w:t xml:space="preserve">Grade </w:t>
            </w:r>
            <w:r w:rsidR="008A1C0C">
              <w:rPr>
                <w:color w:val="auto"/>
              </w:rPr>
              <w:t>8</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74A7E4B" w14:textId="591C351F" w:rsidR="00F11619" w:rsidRPr="00F52C5C" w:rsidRDefault="00B431DF" w:rsidP="001F074F">
            <w:pPr>
              <w:spacing w:before="60" w:after="240"/>
              <w:rPr>
                <w:rFonts w:cs="Calibri"/>
                <w:b w:val="0"/>
                <w:bCs w:val="0"/>
                <w:color w:val="000000"/>
                <w:shd w:val="clear" w:color="auto" w:fill="FFFFFF"/>
              </w:rPr>
            </w:pPr>
            <w:r>
              <w:t xml:space="preserve">Unit </w:t>
            </w:r>
            <w:r w:rsidR="005726F3">
              <w:t>1</w:t>
            </w:r>
            <w:r>
              <w:t xml:space="preserve"> </w:t>
            </w:r>
            <w:r w:rsidR="3560C088" w:rsidRPr="00F11619">
              <w:t xml:space="preserve">Measurement Target: </w:t>
            </w:r>
            <w:r w:rsidR="00F11619" w:rsidRPr="00F11619">
              <w:rPr>
                <w:b w:val="0"/>
                <w:bCs w:val="0"/>
              </w:rPr>
              <w:t xml:space="preserve">Students are able to </w:t>
            </w:r>
            <w:r w:rsidR="00F52C5C" w:rsidRPr="00F52C5C">
              <w:rPr>
                <w:rFonts w:eastAsia="Calibri" w:cs="Calibri"/>
                <w:b w:val="0"/>
                <w:bCs w:val="0"/>
                <w:color w:val="000000" w:themeColor="text1"/>
              </w:rPr>
              <w:t xml:space="preserve">apply Science and Engineering Practices with </w:t>
            </w:r>
            <w:r w:rsidR="00F52C5C" w:rsidRPr="00F52C5C">
              <w:rPr>
                <w:rFonts w:eastAsia="Calibri" w:cs="Calibri"/>
                <w:b w:val="0"/>
                <w:bCs w:val="0"/>
                <w:color w:val="000000" w:themeColor="text1"/>
                <w:u w:val="single"/>
              </w:rPr>
              <w:t>emphasis on</w:t>
            </w:r>
            <w:r w:rsidR="00F52C5C" w:rsidRPr="00F52C5C">
              <w:rPr>
                <w:rFonts w:eastAsia="Calibri" w:cs="Calibri"/>
                <w:b w:val="0"/>
                <w:bCs w:val="0"/>
                <w:color w:val="000000" w:themeColor="text1"/>
              </w:rPr>
              <w:t xml:space="preserve"> </w:t>
            </w:r>
            <w:r w:rsidR="003A626A" w:rsidRPr="003A626A">
              <w:rPr>
                <w:rFonts w:eastAsia="Calibri" w:cs="Calibri"/>
                <w:b w:val="0"/>
                <w:bCs w:val="0"/>
                <w:color w:val="4472C4"/>
              </w:rPr>
              <w:t>planning investigations</w:t>
            </w:r>
            <w:r w:rsidR="003A626A" w:rsidRPr="003A626A">
              <w:rPr>
                <w:b w:val="0"/>
                <w:bCs w:val="0"/>
              </w:rPr>
              <w:t xml:space="preserve"> related to the </w:t>
            </w:r>
            <w:r w:rsidR="003A626A" w:rsidRPr="003A626A">
              <w:rPr>
                <w:b w:val="0"/>
                <w:bCs w:val="0"/>
                <w:color w:val="00B050"/>
              </w:rPr>
              <w:t>scale of</w:t>
            </w:r>
            <w:r w:rsidR="003A626A" w:rsidRPr="003A626A">
              <w:rPr>
                <w:b w:val="0"/>
                <w:bCs w:val="0"/>
                <w:color w:val="FFC000"/>
              </w:rPr>
              <w:t xml:space="preserve"> motion of an object, interactions between objects, </w:t>
            </w:r>
            <w:r w:rsidR="003A626A" w:rsidRPr="003A626A">
              <w:rPr>
                <w:b w:val="0"/>
                <w:bCs w:val="0"/>
              </w:rPr>
              <w:t xml:space="preserve">and </w:t>
            </w:r>
            <w:r w:rsidR="003A626A" w:rsidRPr="003A626A">
              <w:rPr>
                <w:rFonts w:eastAsia="Calibri" w:cs="Calibri"/>
                <w:b w:val="0"/>
                <w:bCs w:val="0"/>
                <w:color w:val="4472C4"/>
              </w:rPr>
              <w:t>constructing and interpreting graphical displays of data in support of an argument to explain</w:t>
            </w:r>
            <w:r w:rsidR="003A626A" w:rsidRPr="003A626A">
              <w:rPr>
                <w:b w:val="0"/>
                <w:bCs w:val="0"/>
                <w:color w:val="00B0F0"/>
              </w:rPr>
              <w:t xml:space="preserve"> </w:t>
            </w:r>
            <w:r w:rsidR="003A626A" w:rsidRPr="003A626A">
              <w:rPr>
                <w:b w:val="0"/>
                <w:bCs w:val="0"/>
              </w:rPr>
              <w:t xml:space="preserve">interactions between </w:t>
            </w:r>
            <w:r w:rsidR="003A626A" w:rsidRPr="003A626A">
              <w:rPr>
                <w:b w:val="0"/>
                <w:bCs w:val="0"/>
                <w:color w:val="FFC000"/>
              </w:rPr>
              <w:t>energy, forces, and motion</w:t>
            </w:r>
            <w:r w:rsidR="003A626A" w:rsidRPr="003A626A">
              <w:rPr>
                <w:b w:val="0"/>
                <w:bCs w:val="0"/>
              </w:rPr>
              <w:t xml:space="preserve"> </w:t>
            </w:r>
            <w:r w:rsidR="003A626A" w:rsidRPr="003A626A">
              <w:rPr>
                <w:b w:val="0"/>
                <w:bCs w:val="0"/>
                <w:color w:val="00B050"/>
              </w:rPr>
              <w:t>in a system</w:t>
            </w:r>
            <w:r w:rsidR="003A626A" w:rsidRPr="003A626A">
              <w:rPr>
                <w:b w:val="0"/>
                <w:bCs w:val="0"/>
              </w:rPr>
              <w:t>.</w:t>
            </w:r>
          </w:p>
          <w:p w14:paraId="6F61964F" w14:textId="613B7835" w:rsidR="00F11619" w:rsidRPr="00F11619" w:rsidRDefault="00B431DF" w:rsidP="00F11619">
            <w:pPr>
              <w:rPr>
                <w:rFonts w:ascii="Times New Roman" w:hAnsi="Times New Roman" w:cs="Times New Roman"/>
              </w:rPr>
            </w:pPr>
            <w:r>
              <w:rPr>
                <w:rFonts w:cs="Calibri"/>
                <w:color w:val="000000"/>
                <w:shd w:val="clear" w:color="auto" w:fill="FFFFFF"/>
              </w:rPr>
              <w:t xml:space="preserve">Unit </w:t>
            </w:r>
            <w:r w:rsidR="003A626A">
              <w:rPr>
                <w:rFonts w:cs="Calibri"/>
                <w:color w:val="000000"/>
                <w:shd w:val="clear" w:color="auto" w:fill="FFFFFF"/>
              </w:rPr>
              <w:t>1</w:t>
            </w:r>
            <w:r>
              <w:rPr>
                <w:rFonts w:cs="Calibri"/>
                <w:color w:val="000000"/>
                <w:shd w:val="clear" w:color="auto" w:fill="FFFFFF"/>
              </w:rPr>
              <w:t xml:space="preserve"> </w:t>
            </w:r>
            <w:r w:rsidR="00F11619">
              <w:rPr>
                <w:rFonts w:cs="Calibri"/>
                <w:color w:val="000000"/>
                <w:shd w:val="clear" w:color="auto" w:fill="FFFFFF"/>
              </w:rPr>
              <w:t>PE Topic Bundle:</w:t>
            </w:r>
          </w:p>
          <w:p w14:paraId="2E42B9B0" w14:textId="77777777" w:rsidR="0051364D" w:rsidRPr="008C58FB" w:rsidRDefault="0051364D" w:rsidP="008C58FB">
            <w:pPr>
              <w:pStyle w:val="ListParagraph"/>
              <w:numPr>
                <w:ilvl w:val="0"/>
                <w:numId w:val="8"/>
              </w:numPr>
              <w:spacing w:before="60" w:after="60"/>
              <w:rPr>
                <w:b w:val="0"/>
                <w:bCs w:val="0"/>
              </w:rPr>
            </w:pPr>
            <w:r w:rsidRPr="008C58FB">
              <w:t>MS-PS2-1</w:t>
            </w:r>
            <w:r w:rsidRPr="008C58FB">
              <w:rPr>
                <w:b w:val="0"/>
                <w:bCs w:val="0"/>
              </w:rPr>
              <w:t xml:space="preserve"> Apply Newton’s third law to design a solution to a problem involving the motion of two colliding objects.</w:t>
            </w:r>
            <w:r w:rsidRPr="008C58FB">
              <w:rPr>
                <w:rFonts w:ascii="Helvetica Neue" w:hAnsi="Helvetica Neue"/>
                <w:b w:val="0"/>
                <w:bCs w:val="0"/>
                <w:color w:val="DD0000"/>
                <w:sz w:val="20"/>
                <w:szCs w:val="20"/>
                <w:shd w:val="clear" w:color="auto" w:fill="FFFFFF"/>
              </w:rPr>
              <w:t xml:space="preserve"> </w:t>
            </w:r>
            <w:r w:rsidRPr="008C58FB">
              <w:rPr>
                <w:rFonts w:cs="Calibri"/>
                <w:b w:val="0"/>
                <w:bCs w:val="0"/>
                <w:color w:val="DD0000"/>
                <w:shd w:val="clear" w:color="auto" w:fill="FFFFFF"/>
              </w:rPr>
              <w:t>Clarification Statement: Examples of practical problems could include the impact of collisions between two cars, between a car and stationary objects, and between a meteor and a space vehicle.] [</w:t>
            </w:r>
            <w:r w:rsidRPr="008C58FB">
              <w:rPr>
                <w:rStyle w:val="Emphasis"/>
                <w:rFonts w:cs="Calibri"/>
                <w:b w:val="0"/>
                <w:bCs w:val="0"/>
                <w:color w:val="DD0000"/>
              </w:rPr>
              <w:t>Assessment Boundary: Assessment is limited to vertical or horizontal interactions in one dimension.</w:t>
            </w:r>
            <w:r w:rsidRPr="008C58FB">
              <w:rPr>
                <w:rFonts w:cs="Calibri"/>
                <w:b w:val="0"/>
                <w:bCs w:val="0"/>
                <w:color w:val="DD0000"/>
                <w:shd w:val="clear" w:color="auto" w:fill="FFFFFF"/>
              </w:rPr>
              <w:t>]</w:t>
            </w:r>
          </w:p>
          <w:p w14:paraId="50DA70E0" w14:textId="77777777" w:rsidR="0051364D" w:rsidRPr="008C58FB" w:rsidRDefault="0051364D" w:rsidP="008C58FB">
            <w:pPr>
              <w:pStyle w:val="ListParagraph"/>
              <w:numPr>
                <w:ilvl w:val="0"/>
                <w:numId w:val="8"/>
              </w:numPr>
              <w:spacing w:before="60" w:after="60"/>
              <w:rPr>
                <w:b w:val="0"/>
                <w:bCs w:val="0"/>
              </w:rPr>
            </w:pPr>
            <w:r w:rsidRPr="008C58FB">
              <w:t>MS-PS2-2</w:t>
            </w:r>
            <w:r w:rsidRPr="008C58FB">
              <w:rPr>
                <w:b w:val="0"/>
                <w:bCs w:val="0"/>
              </w:rPr>
              <w:t xml:space="preserve"> Plan an investigation to provide evidence that the change in an object’s motion depends on the sum of the forces on the object and the mass of the object.</w:t>
            </w:r>
            <w:r w:rsidRPr="008C58FB">
              <w:rPr>
                <w:rFonts w:ascii="Helvetica Neue" w:hAnsi="Helvetica Neue"/>
                <w:b w:val="0"/>
                <w:bCs w:val="0"/>
                <w:color w:val="DD0000"/>
                <w:sz w:val="20"/>
                <w:szCs w:val="20"/>
                <w:shd w:val="clear" w:color="auto" w:fill="FFFFFF"/>
              </w:rPr>
              <w:t xml:space="preserve"> </w:t>
            </w:r>
            <w:r w:rsidRPr="008C58FB">
              <w:rPr>
                <w:rFonts w:cs="Calibri"/>
                <w:b w:val="0"/>
                <w:bCs w:val="0"/>
                <w:color w:val="DD0000"/>
                <w:shd w:val="clear" w:color="auto" w:fill="FFFFFF"/>
              </w:rPr>
              <w:t>[Clarification Statement: Emphasis is on balanced (Newton’s first law) and unbalanced forces in a system, qualitative comparisons of forces, mass, and changes in motion (Newton’s second law), frame of reference, and specification of units.] [</w:t>
            </w:r>
            <w:r w:rsidRPr="008C58FB">
              <w:rPr>
                <w:rStyle w:val="Emphasis"/>
                <w:rFonts w:cs="Calibri"/>
                <w:b w:val="0"/>
                <w:bCs w:val="0"/>
                <w:color w:val="DD0000"/>
              </w:rPr>
              <w:t>Assessment Boundary: Assessment is limited to forces and changes in motion in one dimension in an inertial reference frame and to change in one variable at a time. Assessment does not include the use of trigonometry.</w:t>
            </w:r>
            <w:r w:rsidRPr="008C58FB">
              <w:rPr>
                <w:rFonts w:cs="Calibri"/>
                <w:b w:val="0"/>
                <w:bCs w:val="0"/>
                <w:color w:val="DD0000"/>
                <w:shd w:val="clear" w:color="auto" w:fill="FFFFFF"/>
              </w:rPr>
              <w:t>]</w:t>
            </w:r>
          </w:p>
          <w:p w14:paraId="67291657" w14:textId="77777777" w:rsidR="0051364D" w:rsidRPr="008C58FB" w:rsidRDefault="0051364D" w:rsidP="008C58FB">
            <w:pPr>
              <w:pStyle w:val="ListParagraph"/>
              <w:numPr>
                <w:ilvl w:val="0"/>
                <w:numId w:val="8"/>
              </w:numPr>
              <w:spacing w:before="60" w:after="60"/>
              <w:rPr>
                <w:b w:val="0"/>
                <w:bCs w:val="0"/>
              </w:rPr>
            </w:pPr>
            <w:r w:rsidRPr="008C58FB">
              <w:t>MS-PS2-4</w:t>
            </w:r>
            <w:r w:rsidRPr="008C58FB">
              <w:rPr>
                <w:b w:val="0"/>
                <w:bCs w:val="0"/>
              </w:rPr>
              <w:t xml:space="preserve"> Construct and present arguments using evidence to support the claim that gravitational interactions are attractive and depend on the masses of interacting objects. </w:t>
            </w:r>
            <w:r w:rsidRPr="008C58FB">
              <w:rPr>
                <w:rFonts w:eastAsia="Calibri" w:cs="Calibri"/>
                <w:b w:val="0"/>
                <w:bCs w:val="0"/>
                <w:color w:val="FF0000"/>
              </w:rPr>
              <w:t>[Clarification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Kepler’s laws.]</w:t>
            </w:r>
          </w:p>
          <w:p w14:paraId="24826C7F" w14:textId="1325EFCC" w:rsidR="007B304B" w:rsidRPr="008C58FB" w:rsidRDefault="008C58FB" w:rsidP="00BC343F">
            <w:pPr>
              <w:pStyle w:val="ListParagraph"/>
              <w:numPr>
                <w:ilvl w:val="0"/>
                <w:numId w:val="8"/>
              </w:numPr>
              <w:rPr>
                <w:b w:val="0"/>
                <w:bCs w:val="0"/>
              </w:rPr>
            </w:pPr>
            <w:r w:rsidRPr="008C58FB">
              <w:t>MS-PS3-1</w:t>
            </w:r>
            <w:r w:rsidRPr="008C58FB">
              <w:rPr>
                <w:b w:val="0"/>
                <w:bCs w:val="0"/>
              </w:rPr>
              <w:t xml:space="preserve"> Construct and interpret graphical displays of data to describe the relationships of kinetic energy to the mass of an object and to the speed of an object. </w:t>
            </w:r>
            <w:r w:rsidRPr="008C58FB">
              <w:rPr>
                <w:rFonts w:eastAsia="Calibri" w:cs="Calibri"/>
                <w:b w:val="0"/>
                <w:bCs w:val="0"/>
                <w:color w:val="FF0000"/>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tc>
      </w:tr>
    </w:tbl>
    <w:p w14:paraId="07587FAF" w14:textId="77777777" w:rsidR="00BC343F" w:rsidRDefault="00BC343F" w:rsidP="005C0646">
      <w:pPr>
        <w:tabs>
          <w:tab w:val="left" w:pos="4050"/>
        </w:tabs>
        <w:rPr>
          <w:i/>
          <w:iCs/>
        </w:rPr>
      </w:pPr>
    </w:p>
    <w:p w14:paraId="36F531B4" w14:textId="59401999" w:rsidR="005C0646" w:rsidRDefault="005C0646" w:rsidP="005C0646">
      <w:pPr>
        <w:tabs>
          <w:tab w:val="left" w:pos="4050"/>
        </w:tabs>
        <w:rPr>
          <w:i/>
          <w:iCs/>
        </w:rPr>
      </w:pPr>
      <w:r>
        <w:rPr>
          <w:i/>
          <w:iCs/>
        </w:rPr>
        <w:t xml:space="preserve">The </w:t>
      </w:r>
      <w:r w:rsidRPr="002F5F83">
        <w:rPr>
          <w:i/>
          <w:iCs/>
        </w:rPr>
        <w:t xml:space="preserve">SIPS Grade </w:t>
      </w:r>
      <w:r w:rsidR="00BC343F">
        <w:rPr>
          <w:i/>
          <w:iCs/>
        </w:rPr>
        <w:t>8</w:t>
      </w:r>
      <w:r w:rsidRPr="002F5F83">
        <w:rPr>
          <w:i/>
          <w:iCs/>
        </w:rPr>
        <w:t xml:space="preserve"> Science </w:t>
      </w:r>
      <w:r w:rsidR="00CE0ADD">
        <w:rPr>
          <w:i/>
          <w:iCs/>
        </w:rPr>
        <w:t xml:space="preserve">Claim, Unit </w:t>
      </w:r>
      <w:r w:rsidR="000E59EA">
        <w:rPr>
          <w:i/>
          <w:iCs/>
        </w:rPr>
        <w:t>1</w:t>
      </w:r>
      <w:r w:rsidR="00CE0ADD">
        <w:rPr>
          <w:i/>
          <w:iCs/>
        </w:rPr>
        <w:t xml:space="preserve"> Measurement Target, and Unit </w:t>
      </w:r>
      <w:r w:rsidR="000E59EA">
        <w:rPr>
          <w:i/>
          <w:iCs/>
        </w:rPr>
        <w:t>1</w:t>
      </w:r>
      <w:r w:rsidR="00CE0ADD">
        <w:rPr>
          <w:i/>
          <w:iCs/>
        </w:rPr>
        <w:t xml:space="preserve">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0D815175" w:rsidR="005C0646" w:rsidRDefault="005C0646" w:rsidP="005C0646">
      <w:pPr>
        <w:tabs>
          <w:tab w:val="left" w:pos="4050"/>
        </w:tabs>
        <w:rPr>
          <w:i/>
          <w:iCs/>
        </w:rPr>
      </w:pPr>
      <w:r>
        <w:rPr>
          <w:i/>
          <w:iCs/>
        </w:rPr>
        <w:t>All rights reserved. Any or all portions of this document may be reproduced and distributed without prior permission, provided the source is cited as: Stackable Instructionally-embedded Portable Science (SIPS) Assessments Project. (202</w:t>
      </w:r>
      <w:r w:rsidR="00BC343F">
        <w:rPr>
          <w:i/>
          <w:iCs/>
        </w:rPr>
        <w:t>3</w:t>
      </w:r>
      <w:r>
        <w:rPr>
          <w:i/>
          <w:iCs/>
        </w:rPr>
        <w:t xml:space="preserve">). </w:t>
      </w:r>
      <w:r w:rsidR="00CE0ADD" w:rsidRPr="002F5F83">
        <w:rPr>
          <w:i/>
          <w:iCs/>
        </w:rPr>
        <w:t xml:space="preserve">SIPS Grade </w:t>
      </w:r>
      <w:r w:rsidR="00BC343F">
        <w:rPr>
          <w:i/>
          <w:iCs/>
        </w:rPr>
        <w:t>8</w:t>
      </w:r>
      <w:r w:rsidR="00CE0ADD" w:rsidRPr="002F5F83">
        <w:rPr>
          <w:i/>
          <w:iCs/>
        </w:rPr>
        <w:t xml:space="preserve"> Science </w:t>
      </w:r>
      <w:r w:rsidR="00CE0ADD">
        <w:rPr>
          <w:i/>
          <w:iCs/>
        </w:rPr>
        <w:t xml:space="preserve">Claim, Unit </w:t>
      </w:r>
      <w:r w:rsidR="000E59EA">
        <w:rPr>
          <w:i/>
          <w:iCs/>
        </w:rPr>
        <w:t>1</w:t>
      </w:r>
      <w:r w:rsidR="00CE0ADD">
        <w:rPr>
          <w:i/>
          <w:iCs/>
        </w:rPr>
        <w:t xml:space="preserve"> Measurement Target, and Unit </w:t>
      </w:r>
      <w:r w:rsidR="000E59EA">
        <w:rPr>
          <w:i/>
          <w:iCs/>
        </w:rPr>
        <w:t>1</w:t>
      </w:r>
      <w:r w:rsidR="00CE0ADD">
        <w:rPr>
          <w:i/>
          <w:iCs/>
        </w:rPr>
        <w:t xml:space="preserve">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7CB5" w14:textId="77777777" w:rsidR="00D147F4" w:rsidRDefault="00D147F4" w:rsidP="00CE3B08">
      <w:pPr>
        <w:spacing w:after="0" w:line="240" w:lineRule="auto"/>
      </w:pPr>
      <w:r>
        <w:separator/>
      </w:r>
    </w:p>
  </w:endnote>
  <w:endnote w:type="continuationSeparator" w:id="0">
    <w:p w14:paraId="3465542A" w14:textId="77777777" w:rsidR="00D147F4" w:rsidRDefault="00D147F4"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B834" w14:textId="77777777" w:rsidR="00D147F4" w:rsidRDefault="00D147F4" w:rsidP="00CE3B08">
      <w:pPr>
        <w:spacing w:after="0" w:line="240" w:lineRule="auto"/>
      </w:pPr>
      <w:r>
        <w:separator/>
      </w:r>
    </w:p>
  </w:footnote>
  <w:footnote w:type="continuationSeparator" w:id="0">
    <w:p w14:paraId="5ACCA665" w14:textId="77777777" w:rsidR="00D147F4" w:rsidRDefault="00D147F4"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C467DD"/>
    <w:multiLevelType w:val="hybridMultilevel"/>
    <w:tmpl w:val="62B4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5"/>
  </w:num>
  <w:num w:numId="2" w16cid:durableId="2007005301">
    <w:abstractNumId w:val="0"/>
  </w:num>
  <w:num w:numId="3" w16cid:durableId="1447456894">
    <w:abstractNumId w:val="2"/>
  </w:num>
  <w:num w:numId="4" w16cid:durableId="877010835">
    <w:abstractNumId w:val="7"/>
  </w:num>
  <w:num w:numId="5" w16cid:durableId="887037525">
    <w:abstractNumId w:val="6"/>
  </w:num>
  <w:num w:numId="6" w16cid:durableId="703408384">
    <w:abstractNumId w:val="4"/>
  </w:num>
  <w:num w:numId="7" w16cid:durableId="969163840">
    <w:abstractNumId w:val="3"/>
  </w:num>
  <w:num w:numId="8" w16cid:durableId="102586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0E59EA"/>
    <w:rsid w:val="0010773B"/>
    <w:rsid w:val="00153D41"/>
    <w:rsid w:val="001728B0"/>
    <w:rsid w:val="0018385C"/>
    <w:rsid w:val="001A259D"/>
    <w:rsid w:val="001C4B1E"/>
    <w:rsid w:val="001F074F"/>
    <w:rsid w:val="002B7B58"/>
    <w:rsid w:val="002C2711"/>
    <w:rsid w:val="002F1CD4"/>
    <w:rsid w:val="00334954"/>
    <w:rsid w:val="00376223"/>
    <w:rsid w:val="0038285E"/>
    <w:rsid w:val="003A626A"/>
    <w:rsid w:val="004050F2"/>
    <w:rsid w:val="00406985"/>
    <w:rsid w:val="004222FD"/>
    <w:rsid w:val="0042316F"/>
    <w:rsid w:val="00432C1E"/>
    <w:rsid w:val="00463D33"/>
    <w:rsid w:val="004A4271"/>
    <w:rsid w:val="004A4BBB"/>
    <w:rsid w:val="0051364D"/>
    <w:rsid w:val="00547FC8"/>
    <w:rsid w:val="005726F3"/>
    <w:rsid w:val="00593CA6"/>
    <w:rsid w:val="005C0646"/>
    <w:rsid w:val="005F71F9"/>
    <w:rsid w:val="00654163"/>
    <w:rsid w:val="0068701A"/>
    <w:rsid w:val="006C5B9E"/>
    <w:rsid w:val="006F60E7"/>
    <w:rsid w:val="00723F8D"/>
    <w:rsid w:val="007B304B"/>
    <w:rsid w:val="007E3A47"/>
    <w:rsid w:val="007E6078"/>
    <w:rsid w:val="008138EE"/>
    <w:rsid w:val="008331CA"/>
    <w:rsid w:val="0084409E"/>
    <w:rsid w:val="008471A1"/>
    <w:rsid w:val="0085158E"/>
    <w:rsid w:val="00861CA5"/>
    <w:rsid w:val="008A1C0C"/>
    <w:rsid w:val="008C58FB"/>
    <w:rsid w:val="008E6FCD"/>
    <w:rsid w:val="00917A0B"/>
    <w:rsid w:val="00922644"/>
    <w:rsid w:val="00987D9A"/>
    <w:rsid w:val="009E79DD"/>
    <w:rsid w:val="00AA209F"/>
    <w:rsid w:val="00AC1174"/>
    <w:rsid w:val="00B23E84"/>
    <w:rsid w:val="00B24476"/>
    <w:rsid w:val="00B431DF"/>
    <w:rsid w:val="00B51C9B"/>
    <w:rsid w:val="00B75027"/>
    <w:rsid w:val="00B77CC1"/>
    <w:rsid w:val="00BC343F"/>
    <w:rsid w:val="00CC32B6"/>
    <w:rsid w:val="00CE0ADD"/>
    <w:rsid w:val="00CE3B08"/>
    <w:rsid w:val="00D0542D"/>
    <w:rsid w:val="00D147F4"/>
    <w:rsid w:val="00D4127F"/>
    <w:rsid w:val="00D673AD"/>
    <w:rsid w:val="00E148E9"/>
    <w:rsid w:val="00E67046"/>
    <w:rsid w:val="00EB6608"/>
    <w:rsid w:val="00F11619"/>
    <w:rsid w:val="00F37BBE"/>
    <w:rsid w:val="00F52C5C"/>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 w:type="character" w:styleId="Emphasis">
    <w:name w:val="Emphasis"/>
    <w:basedOn w:val="DefaultParagraphFont"/>
    <w:uiPriority w:val="20"/>
    <w:rsid w:val="00513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12</cp:revision>
  <dcterms:created xsi:type="dcterms:W3CDTF">2023-05-17T18:55:00Z</dcterms:created>
  <dcterms:modified xsi:type="dcterms:W3CDTF">2023-06-15T12:21:00Z</dcterms:modified>
</cp:coreProperties>
</file>